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réplica-ao-recurso-da-defesa"/>
    <w:p>
      <w:pPr>
        <w:pStyle w:val="Heading2"/>
      </w:pPr>
      <w:r>
        <w:t xml:space="preserve">Réplica ao Recurso da Defesa</w:t>
      </w:r>
    </w:p>
    <w:p>
      <w:pPr>
        <w:pStyle w:val="FirstParagraph"/>
      </w:pPr>
      <w:r>
        <w:rPr>
          <w:b/>
          <w:bCs/>
        </w:rPr>
        <w:t xml:space="preserve">Processo n.º 2023/0456 – Burla Informática por Phishing</w:t>
      </w:r>
      <w:r>
        <w:br/>
      </w:r>
      <w:r>
        <w:rPr>
          <w:b/>
          <w:bCs/>
        </w:rPr>
        <w:t xml:space="preserve">Tribunal Judicial de Lisboa – Secção de Instrução Criminal</w:t>
      </w:r>
      <w:r>
        <w:br/>
      </w:r>
      <w:r>
        <w:rPr>
          <w:b/>
          <w:bCs/>
        </w:rPr>
        <w:t xml:space="preserve">Juiz de Instrução Criminal n.º 4</w:t>
      </w:r>
    </w:p>
    <w:p>
      <w:pPr>
        <w:pStyle w:val="BodyText"/>
      </w:pPr>
      <w:r>
        <w:rPr>
          <w:b/>
          <w:bCs/>
        </w:rPr>
        <w:t xml:space="preserve">Ministério Público</w:t>
      </w:r>
      <w:r>
        <w:t xml:space="preserve">, representado pela Procuradora</w:t>
      </w:r>
      <w:r>
        <w:t xml:space="preserve"> </w:t>
      </w:r>
      <w:r>
        <w:rPr>
          <w:b/>
          <w:bCs/>
        </w:rPr>
        <w:t xml:space="preserve">Drª Marta Santos</w:t>
      </w:r>
      <w:r>
        <w:t xml:space="preserve"> </w:t>
      </w:r>
      <w:r>
        <w:t xml:space="preserve">(OA 54321), com sede na Av. da Liberdade, n.º 210, 1250‑147 Lisboa, NIF 507 123 456, vem, respeitosamente, à presença de V. Exa., apresentar</w:t>
      </w:r>
      <w:r>
        <w:t xml:space="preserve"> </w:t>
      </w:r>
      <w:r>
        <w:rPr>
          <w:b/>
          <w:bCs/>
        </w:rPr>
        <w:t xml:space="preserve">RÉPLICA</w:t>
      </w:r>
      <w:r>
        <w:t xml:space="preserve"> </w:t>
      </w:r>
      <w:r>
        <w:t xml:space="preserve">ao recurso interposto pela defesa de</w:t>
      </w:r>
      <w:r>
        <w:t xml:space="preserve"> </w:t>
      </w:r>
      <w:r>
        <w:rPr>
          <w:b/>
          <w:bCs/>
        </w:rPr>
        <w:t xml:space="preserve">João da Silva</w:t>
      </w:r>
      <w:r>
        <w:t xml:space="preserve">, residente em Rua da Palma, n.º 45, 2.º B, 1150‑252 Lisboa, NIF 123 456 789, representado pelos Advogados</w:t>
      </w:r>
      <w:r>
        <w:t xml:space="preserve"> </w:t>
      </w:r>
      <w:r>
        <w:rPr>
          <w:b/>
          <w:bCs/>
        </w:rPr>
        <w:t xml:space="preserve">Drª Ana Pereira</w:t>
      </w:r>
      <w:r>
        <w:t xml:space="preserve"> </w:t>
      </w:r>
      <w:r>
        <w:t xml:space="preserve">(OA 12345) e</w:t>
      </w:r>
      <w:r>
        <w:t xml:space="preserve"> </w:t>
      </w:r>
      <w:r>
        <w:rPr>
          <w:b/>
          <w:bCs/>
        </w:rPr>
        <w:t xml:space="preserve">Dr Luís Carvalho</w:t>
      </w:r>
      <w:r>
        <w:t xml:space="preserve"> </w:t>
      </w:r>
      <w:r>
        <w:t xml:space="preserve">(OA 67890), pelos fundamentos de facto e de direito que se seguem.</w:t>
      </w:r>
    </w:p>
    <w:p>
      <w:r>
        <w:pict>
          <v:rect style="width:0;height:1.5pt" o:hralign="center" o:hrstd="t" o:hr="t"/>
        </w:pict>
      </w:r>
    </w:p>
    <w:bookmarkStart w:id="9" w:name="síntese-do-recurso-da-defesa"/>
    <w:p>
      <w:pPr>
        <w:pStyle w:val="Heading3"/>
      </w:pPr>
      <w:r>
        <w:t xml:space="preserve">1. Síntese do Recurso da Defesa</w:t>
      </w:r>
    </w:p>
    <w:p>
      <w:pPr>
        <w:pStyle w:val="FirstParagraph"/>
      </w:pPr>
      <w:r>
        <w:t xml:space="preserve">A defesa interpôs recurso de</w:t>
      </w:r>
      <w:r>
        <w:t xml:space="preserve"> </w:t>
      </w:r>
      <w:r>
        <w:rPr>
          <w:b/>
          <w:bCs/>
        </w:rPr>
        <w:t xml:space="preserve">apelação</w:t>
      </w:r>
      <w:r>
        <w:t xml:space="preserve"> </w:t>
      </w:r>
      <w:r>
        <w:t xml:space="preserve">em</w:t>
      </w:r>
      <w:r>
        <w:t xml:space="preserve"> </w:t>
      </w:r>
      <w:r>
        <w:rPr>
          <w:b/>
          <w:bCs/>
        </w:rPr>
        <w:t xml:space="preserve">15 de fevereiro de 2026</w:t>
      </w:r>
      <w:r>
        <w:t xml:space="preserve">, alegando, essencialmente, que: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05"/>
        <w:gridCol w:w="3370"/>
        <w:gridCol w:w="404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Alegação da Defesa</w:t>
            </w:r>
          </w:p>
        </w:tc>
        <w:tc>
          <w:tcPr/>
          <w:p>
            <w:pPr>
              <w:pStyle w:val="Compact"/>
            </w:pPr>
            <w:r>
              <w:t xml:space="preserve">Fundamentação Invocada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Inexistência de dolo específico</w:t>
            </w:r>
          </w:p>
        </w:tc>
        <w:tc>
          <w:tcPr/>
          <w:p>
            <w:pPr>
              <w:pStyle w:val="Compact"/>
            </w:pPr>
            <w:r>
              <w:t xml:space="preserve">Art. 217.º, n.º 1, alínea b) do CP – ausência de intenção criminosa.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Falta de prova da autoria material</w:t>
            </w:r>
          </w:p>
        </w:tc>
        <w:tc>
          <w:tcPr/>
          <w:p>
            <w:pPr>
              <w:pStyle w:val="Compact"/>
            </w:pPr>
            <w:r>
              <w:t xml:space="preserve">Violação do princípio da prova legal (art. 272.º do CP).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Violação do direito à defesa e ao contraditório</w:t>
            </w:r>
          </w:p>
        </w:tc>
        <w:tc>
          <w:tcPr/>
          <w:p>
            <w:pPr>
              <w:pStyle w:val="Compact"/>
            </w:pPr>
            <w:r>
              <w:t xml:space="preserve">Art. 20.º da Constituição da República Portuguesa e art. 6.º do CPC.</w:t>
            </w:r>
          </w:p>
        </w:tc>
      </w:tr>
    </w:tbl>
    <w:p>
      <w:pPr>
        <w:pStyle w:val="BodyText"/>
      </w:pPr>
      <w:r>
        <w:t xml:space="preserve">A defesa requer, assim, a</w:t>
      </w:r>
      <w:r>
        <w:t xml:space="preserve"> </w:t>
      </w:r>
      <w:r>
        <w:rPr>
          <w:b/>
          <w:bCs/>
        </w:rPr>
        <w:t xml:space="preserve">anulação da instrução criminal</w:t>
      </w:r>
      <w:r>
        <w:t xml:space="preserve"> </w:t>
      </w:r>
      <w:r>
        <w:t xml:space="preserve">e o</w:t>
      </w:r>
      <w:r>
        <w:t xml:space="preserve"> </w:t>
      </w:r>
      <w:r>
        <w:rPr>
          <w:b/>
          <w:bCs/>
        </w:rPr>
        <w:t xml:space="preserve">arresto do processo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9"/>
    <w:bookmarkStart w:id="13" w:name="X6f8c6188e4ed71df8564ed53f3ad98d9cd49ddd"/>
    <w:p>
      <w:pPr>
        <w:pStyle w:val="Heading3"/>
      </w:pPr>
      <w:r>
        <w:t xml:space="preserve">2. Da Manutenção da Instrução e da Existência de Provas Suficientes</w:t>
      </w:r>
    </w:p>
    <w:bookmarkStart w:id="10" w:name="prova-da-autoria-e-do-dolo"/>
    <w:p>
      <w:pPr>
        <w:pStyle w:val="Heading4"/>
      </w:pPr>
      <w:r>
        <w:t xml:space="preserve">2.1. Prova da autoria e do dolo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Rastos eletrónicos</w:t>
      </w:r>
      <w:r>
        <w:t xml:space="preserve"> </w:t>
      </w:r>
      <w:r>
        <w:t xml:space="preserve">– O perito informático, Dr. Rui Martins, concluiu, em laudo datado de</w:t>
      </w:r>
      <w:r>
        <w:t xml:space="preserve"> </w:t>
      </w:r>
      <w:r>
        <w:rPr>
          <w:b/>
          <w:bCs/>
        </w:rPr>
        <w:t xml:space="preserve">30 de janeiro de 2026</w:t>
      </w:r>
      <w:r>
        <w:t xml:space="preserve">, que os endereços IP e os registos de “login” associados às transferências fraudulentas correspondem, com 99,8 % de certeza, ao dispositivo móvel registado ao número de telemóvel</w:t>
      </w:r>
      <w:r>
        <w:t xml:space="preserve"> </w:t>
      </w:r>
      <w:r>
        <w:rPr>
          <w:b/>
          <w:bCs/>
        </w:rPr>
        <w:t xml:space="preserve">+351 912 345 678</w:t>
      </w:r>
      <w:r>
        <w:t xml:space="preserve">, atribuído ao réu.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Correspondência eletrónica</w:t>
      </w:r>
      <w:r>
        <w:t xml:space="preserve"> </w:t>
      </w:r>
      <w:r>
        <w:t xml:space="preserve">– Foram colhidos e analisados e‑mails de phishing enviados a partir da conta de Gmail</w:t>
      </w:r>
      <w:r>
        <w:t xml:space="preserve"> </w:t>
      </w:r>
      <w:r>
        <w:rPr>
          <w:b/>
          <w:bCs/>
        </w:rPr>
        <w:t xml:space="preserve">joaosilva2023@gmail.com</w:t>
      </w:r>
      <w:r>
        <w:t xml:space="preserve">, cujo cabeçalho indica a origem em</w:t>
      </w:r>
      <w:r>
        <w:t xml:space="preserve"> </w:t>
      </w:r>
      <w:r>
        <w:rPr>
          <w:b/>
          <w:bCs/>
        </w:rPr>
        <w:t xml:space="preserve">Lisboa, Portugal</w:t>
      </w:r>
      <w:r>
        <w:t xml:space="preserve">, e cuja assinatura eletrónica contém o mesmo endereço de IP identificado no ponto anterior.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Testemunho da vítima</w:t>
      </w:r>
      <w:r>
        <w:t xml:space="preserve"> </w:t>
      </w:r>
      <w:r>
        <w:t xml:space="preserve">– A Sra.</w:t>
      </w:r>
      <w:r>
        <w:t xml:space="preserve"> </w:t>
      </w:r>
      <w:r>
        <w:rPr>
          <w:b/>
          <w:bCs/>
        </w:rPr>
        <w:t xml:space="preserve">Maria Fernandes</w:t>
      </w:r>
      <w:r>
        <w:t xml:space="preserve">, titular da conta bancária “Banco Alfa – 0012‑3456‑7890”, confirmou, em depoimento oral (fls. 112‑118), ter recebido, entre 10 e 25 de março de 2023, três solicitações de pagamento que, sob falsos pretextos de “verificação de segurança”, resultaram na transferência de</w:t>
      </w:r>
      <w:r>
        <w:t xml:space="preserve"> </w:t>
      </w:r>
      <w:r>
        <w:rPr>
          <w:b/>
          <w:bCs/>
        </w:rPr>
        <w:t xml:space="preserve">€32 000,00</w:t>
      </w:r>
      <w:r>
        <w:t xml:space="preserve"> </w:t>
      </w:r>
      <w:r>
        <w:t xml:space="preserve">para a conta “Banco Beta – 0034‑5678‑9012”, titular do réu.</w:t>
      </w:r>
    </w:p>
    <w:p>
      <w:pPr>
        <w:pStyle w:val="FirstParagraph"/>
      </w:pPr>
      <w:r>
        <w:t xml:space="preserve">A soma destes elementos, corroborados pelo princípio da</w:t>
      </w:r>
      <w:r>
        <w:t xml:space="preserve"> </w:t>
      </w:r>
      <w:r>
        <w:rPr>
          <w:b/>
          <w:bCs/>
        </w:rPr>
        <w:t xml:space="preserve">conjunção de provas</w:t>
      </w:r>
      <w:r>
        <w:t xml:space="preserve"> </w:t>
      </w:r>
      <w:r>
        <w:t xml:space="preserve">(art. 272.º, n.º 2, CP), demonstra, de forma inequívoca, a autoria e a intenção delituosa do réu.</w:t>
      </w:r>
    </w:p>
    <w:bookmarkEnd w:id="10"/>
    <w:bookmarkStart w:id="11" w:name="da-existência-de-dolo-específico"/>
    <w:p>
      <w:pPr>
        <w:pStyle w:val="Heading4"/>
      </w:pPr>
      <w:r>
        <w:t xml:space="preserve">2.2. Da existência de dolo específico</w:t>
      </w:r>
    </w:p>
    <w:p>
      <w:pPr>
        <w:pStyle w:val="FirstParagraph"/>
      </w:pPr>
      <w:r>
        <w:t xml:space="preserve">O crime de burla informática, previsto no</w:t>
      </w:r>
      <w:r>
        <w:t xml:space="preserve"> </w:t>
      </w:r>
      <w:r>
        <w:rPr>
          <w:b/>
          <w:bCs/>
        </w:rPr>
        <w:t xml:space="preserve">art. 217.º, n.º 1, alínea a)</w:t>
      </w:r>
      <w:r>
        <w:t xml:space="preserve"> </w:t>
      </w:r>
      <w:r>
        <w:t xml:space="preserve">do CP, exige a intenção de obter, para si ou para outrem, vantagem patrimonial ilícita, mediante engano. Os e‑mails de phishing continham, de forma clara, a promessa de “regularização de conta” mediante transferência de fundos. O réu, ao acionar a conta bancária da vítima, manifestou a vontade de beneficiar-se do valor transferido, configurando, assim, o</w:t>
      </w:r>
      <w:r>
        <w:t xml:space="preserve"> </w:t>
      </w:r>
      <w:r>
        <w:rPr>
          <w:b/>
          <w:bCs/>
        </w:rPr>
        <w:t xml:space="preserve">dolo específico</w:t>
      </w:r>
      <w:r>
        <w:t xml:space="preserve"> </w:t>
      </w:r>
      <w:r>
        <w:t xml:space="preserve">exigido pela norma penal.</w:t>
      </w:r>
    </w:p>
    <w:bookmarkEnd w:id="11"/>
    <w:bookmarkStart w:id="12" w:name="X1f7436917a570d6e055c4e47e6baf2b360abd2d"/>
    <w:p>
      <w:pPr>
        <w:pStyle w:val="Heading4"/>
      </w:pPr>
      <w:r>
        <w:t xml:space="preserve">2.3. Da observância do contraditório e do direito de defesa</w:t>
      </w:r>
    </w:p>
    <w:p>
      <w:pPr>
        <w:pStyle w:val="FirstParagraph"/>
      </w:pPr>
      <w:r>
        <w:t xml:space="preserve">O Ministério Público cumpriu rigorosamente todas as formalidades previstas no</w:t>
      </w:r>
      <w:r>
        <w:t xml:space="preserve"> </w:t>
      </w:r>
      <w:r>
        <w:rPr>
          <w:b/>
          <w:bCs/>
        </w:rPr>
        <w:t xml:space="preserve">Código de Processo Penal (CPP)</w:t>
      </w:r>
      <w:r>
        <w:t xml:space="preserve"> </w:t>
      </w:r>
      <w:r>
        <w:t xml:space="preserve">e no</w:t>
      </w:r>
      <w:r>
        <w:t xml:space="preserve"> </w:t>
      </w:r>
      <w:r>
        <w:rPr>
          <w:b/>
          <w:bCs/>
        </w:rPr>
        <w:t xml:space="preserve">Código de Processo Civil (CPC)</w:t>
      </w:r>
      <w:r>
        <w:t xml:space="preserve">, nomeadamente: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Intimação pessoal</w:t>
      </w:r>
      <w:r>
        <w:t xml:space="preserve"> </w:t>
      </w:r>
      <w:r>
        <w:t xml:space="preserve">da defesa para a prática de todos os atos de produção de prova (art. 221.º, CPP).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Acesso ao laudo pericial</w:t>
      </w:r>
      <w:r>
        <w:t xml:space="preserve"> </w:t>
      </w:r>
      <w:r>
        <w:t xml:space="preserve">e à documentação eletrónica, disponibilizados nos autos em</w:t>
      </w:r>
      <w:r>
        <w:t xml:space="preserve"> </w:t>
      </w:r>
      <w:r>
        <w:rPr>
          <w:b/>
          <w:bCs/>
        </w:rPr>
        <w:t xml:space="preserve">10 de fevereiro de 2026</w:t>
      </w:r>
      <w:r>
        <w:t xml:space="preserve">, com prazo de 5 dias úteis para impugnação, conforme preconizado no art. 224.º, CPP.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Oportunidade de produção de prova própria</w:t>
      </w:r>
      <w:r>
        <w:t xml:space="preserve">, que a defesa não utilizou, tendo apenas apresentado argumentos genéricos e desprovidos de suporte probatório.</w:t>
      </w:r>
    </w:p>
    <w:p>
      <w:pPr>
        <w:pStyle w:val="FirstParagraph"/>
      </w:pPr>
      <w:r>
        <w:t xml:space="preserve">Portanto, não há que se falar em violação do direito ao contraditório, uma vez que a defesa teve plena possibilidade de exercer o seu direito de defesa, nos termos do art. 20.º da Constituição da República Portuguesa e do art. 6.º do CPC.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4" w:name="da-jurisprudência-aplicável"/>
    <w:p>
      <w:pPr>
        <w:pStyle w:val="Heading3"/>
      </w:pPr>
      <w:r>
        <w:t xml:space="preserve">3. Da Jurisprudência Aplicável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STJ, Acórdão n.º 123/21.6T8LSB (15 de outubro de 2021)</w:t>
      </w:r>
      <w:r>
        <w:t xml:space="preserve"> </w:t>
      </w:r>
      <w:r>
        <w:t xml:space="preserve">– Reconheceu que a prova pericial de endereços IP, aliada a correspondência eletrónica, constitui meio idôneo de demonstração da autoria em crimes de phishing.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TJ Lisboa, Processo n.º 2022/0189 – 2.ª Secção (23 de março de 2022)</w:t>
      </w:r>
      <w:r>
        <w:t xml:space="preserve"> </w:t>
      </w:r>
      <w:r>
        <w:t xml:space="preserve">– Entendeu que a existência de dolo específico pode ser inferida a partir da combinação de atos fraudulentos e da obtenção de vantagem patrimonial, ainda que o réu alegue desconhecimento da ilicitude.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STJ, Acórdão n.º 456/20.5T8LSB (12 de julho de 2020)</w:t>
      </w:r>
      <w:r>
        <w:t xml:space="preserve"> </w:t>
      </w:r>
      <w:r>
        <w:t xml:space="preserve">– Reafirmou que a simples alegação de “ausência de prova da autoria” não basta para impedir a continuação da instrução, sendo imprescindível a demonstração concreta da insuficiência probatória, o que não ocorre no presente caso.</w:t>
      </w:r>
    </w:p>
    <w:p>
      <w:r>
        <w:pict>
          <v:rect style="width:0;height:1.5pt" o:hralign="center" o:hrstd="t" o:hr="t"/>
        </w:pict>
      </w:r>
    </w:p>
    <w:bookmarkEnd w:id="14"/>
    <w:bookmarkStart w:id="15" w:name="dos-pedidos"/>
    <w:p>
      <w:pPr>
        <w:pStyle w:val="Heading3"/>
      </w:pPr>
      <w:r>
        <w:t xml:space="preserve">4. Dos Pedidos</w:t>
      </w:r>
    </w:p>
    <w:p>
      <w:pPr>
        <w:pStyle w:val="FirstParagraph"/>
      </w:pPr>
      <w:r>
        <w:t xml:space="preserve">Face ao exposto, o Ministério Público requer a V. Exa.: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Rejeitar integralmente o recurso de apelação interposto pela defesa</w:t>
      </w:r>
      <w:r>
        <w:t xml:space="preserve">, mantendo a instrução criminal em curso.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Confirmar a validade das provas produzidas</w:t>
      </w:r>
      <w:r>
        <w:t xml:space="preserve">, nomeadamente o laudo pericial, os e‑mails de phishing e o depoimento da vítima, como meios idôneos de demonstração da autoria e do dolo.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Negar o pedido de anulação do processo</w:t>
      </w:r>
      <w:r>
        <w:t xml:space="preserve">, por inexistir violação dos princípios constitucionais do contraditório e da ampla defesa.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Proceder à produção de prova complementar</w:t>
      </w:r>
      <w:r>
        <w:t xml:space="preserve">, caso V. Exa. entenda necessária, designando nova data para a realização da perícia de análise de registos de telemetria dos dispositivos móveis.</w:t>
      </w:r>
    </w:p>
    <w:p>
      <w:pPr>
        <w:pStyle w:val="FirstParagraph"/>
      </w:pPr>
      <w:r>
        <w:t xml:space="preserve">Nestes termos, 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22 de fevereiro de 2026</w:t>
      </w:r>
    </w:p>
    <w:p>
      <w:pPr>
        <w:pStyle w:val="BodyText"/>
      </w:pPr>
      <w:r>
        <w:rPr>
          <w:b/>
          <w:bCs/>
        </w:rPr>
        <w:t xml:space="preserve">Pela Procuradora do Ministério Público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Drª Marta Santos</w:t>
      </w:r>
      <w:r>
        <w:br/>
      </w:r>
      <w:r>
        <w:t xml:space="preserve">Advogada‑do‑Ministério‑Público (OA 54321)</w:t>
      </w:r>
      <w:r>
        <w:br/>
      </w:r>
      <w:r>
        <w:t xml:space="preserve">NIF 507 123 456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Documentos anexos:</w:t>
      </w:r>
    </w:p>
    <w:p>
      <w:pPr>
        <w:pStyle w:val="Compact"/>
        <w:numPr>
          <w:ilvl w:val="0"/>
          <w:numId w:val="1005"/>
        </w:numPr>
      </w:pPr>
      <w:r>
        <w:t xml:space="preserve">Laudo pericial – Dr. Rui Martins (fls. 90‑115).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Cópia dos e‑mails de phishing (fls. 116‑124).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Depoimento da vítima – Sra. Maria Fernandes (fls. 112‑118).</w:t>
      </w:r>
    </w:p>
    <w:p>
      <w:r>
        <w:pict>
          <v:rect style="width:0;height:1.5pt" o:hralign="center" o:hrstd="t" o:hr="t"/>
        </w:pic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